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5D" w:rsidRDefault="001E357D">
      <w:pPr>
        <w:pStyle w:val="SRS"/>
      </w:pPr>
      <w:r>
        <w:t xml:space="preserve"> </w:t>
      </w:r>
    </w:p>
    <w:p w:rsidR="00B3425D" w:rsidRDefault="00B3425D">
      <w:pPr>
        <w:pStyle w:val="SRS"/>
      </w:pPr>
    </w:p>
    <w:p w:rsidR="00B3425D" w:rsidRDefault="00B3425D">
      <w:pPr>
        <w:pStyle w:val="SRS"/>
      </w:pPr>
    </w:p>
    <w:p w:rsidR="00B3425D" w:rsidRDefault="001E357D">
      <w:pPr>
        <w:pStyle w:val="SRS"/>
        <w:jc w:val="center"/>
        <w:rPr>
          <w:b/>
        </w:rPr>
      </w:pPr>
      <w:r>
        <w:rPr>
          <w:b/>
        </w:rPr>
        <w:t>NYÍLT VÉGŰ PÉNZÜGYI LÍZINGSZERZŐDÉS</w:t>
      </w:r>
    </w:p>
    <w:p w:rsidR="00B3425D" w:rsidRDefault="001E357D">
      <w:pPr>
        <w:pStyle w:val="SRS"/>
        <w:jc w:val="center"/>
      </w:pPr>
      <w:r>
        <w:t xml:space="preserve">Szerződés száma: </w:t>
      </w:r>
    </w:p>
    <w:p w:rsidR="00B3425D" w:rsidRDefault="001E357D">
      <w:pPr>
        <w:pStyle w:val="SRS"/>
        <w:jc w:val="center"/>
      </w:pPr>
      <w:r>
        <w:t xml:space="preserve">Ügyletazonosító: </w:t>
      </w:r>
    </w:p>
    <w:p w:rsidR="00B3425D" w:rsidRDefault="00B3425D">
      <w:pPr>
        <w:pStyle w:val="SRS"/>
      </w:pPr>
    </w:p>
    <w:p w:rsidR="00B3425D" w:rsidRDefault="001E357D">
      <w:pPr>
        <w:pStyle w:val="SRS"/>
      </w:pPr>
      <w:r>
        <w:t xml:space="preserve">amely létrejött egyrészről a </w:t>
      </w:r>
      <w:r>
        <w:rPr>
          <w:b/>
        </w:rPr>
        <w:t>Budapest Bank</w:t>
      </w:r>
      <w:r>
        <w:t xml:space="preserve"> </w:t>
      </w:r>
      <w:proofErr w:type="spellStart"/>
      <w:r>
        <w:t>Zrt</w:t>
      </w:r>
      <w:proofErr w:type="spellEnd"/>
      <w:r>
        <w:t>. (Székhely: 1138 Budapest, Váci út 193., számlaszáma:  10103173-40146723-00000005, cégjegyzékszáma 01 10 041037), mint lízingbeadó (a továbbiakban</w:t>
      </w:r>
      <w:r>
        <w:rPr>
          <w:b/>
        </w:rPr>
        <w:t>: “Budapest Bank”, vagy “Lízingbeadó”</w:t>
      </w:r>
      <w:r>
        <w:t>)</w:t>
      </w:r>
    </w:p>
    <w:p w:rsidR="00B3425D" w:rsidRDefault="001E357D">
      <w:pPr>
        <w:pStyle w:val="SRS"/>
      </w:pPr>
      <w:r>
        <w:t xml:space="preserve">másrészről </w:t>
      </w:r>
      <w:r>
        <w:rPr>
          <w:b/>
        </w:rPr>
        <w:t>……………………..</w:t>
      </w:r>
      <w:r>
        <w:t xml:space="preserve"> (adószám: ……., cím: …………………………), mint Lízingbevevő (a továbbiakban: “</w:t>
      </w:r>
      <w:r>
        <w:rPr>
          <w:b/>
        </w:rPr>
        <w:t>Lízingbevevő</w:t>
      </w:r>
      <w:r>
        <w:t>”)</w:t>
      </w:r>
    </w:p>
    <w:p w:rsidR="00B3425D" w:rsidRDefault="001E357D">
      <w:pPr>
        <w:pStyle w:val="SRS"/>
      </w:pPr>
      <w:r>
        <w:t>között az alulírott helyen és időpontban, az alábbi feltételekkel.</w:t>
      </w:r>
    </w:p>
    <w:p w:rsidR="00B3425D" w:rsidRDefault="001E357D">
      <w:pPr>
        <w:pStyle w:val="SRS"/>
      </w:pPr>
      <w:r>
        <w:rPr>
          <w:b/>
        </w:rPr>
        <w:t>…………………………..</w:t>
      </w:r>
      <w:r>
        <w:t xml:space="preserve"> (cím) mint Eladó Megbízottja, egyben </w:t>
      </w:r>
      <w:r>
        <w:rPr>
          <w:b/>
        </w:rPr>
        <w:t>Pénzügyi Közvetítő</w:t>
      </w:r>
      <w:r>
        <w:t xml:space="preserve"> </w:t>
      </w:r>
      <w:bookmarkStart w:id="0" w:name="_GoBack"/>
      <w:bookmarkEnd w:id="0"/>
      <w:r>
        <w:t xml:space="preserve">közreműködésével. </w:t>
      </w:r>
    </w:p>
    <w:p w:rsidR="00B3425D" w:rsidRDefault="001E357D">
      <w:pPr>
        <w:pStyle w:val="SRS"/>
        <w:numPr>
          <w:ilvl w:val="0"/>
          <w:numId w:val="1"/>
        </w:numPr>
        <w:ind w:left="0" w:firstLine="0"/>
      </w:pPr>
      <w:r>
        <w:rPr>
          <w:b/>
        </w:rPr>
        <w:t>A jelen Lízingszerződés (a továbbiakban: Szerződés) célja</w:t>
      </w:r>
      <w:r>
        <w:t>, hogy a Budapest Bank a Lízingbevevő által kijelölt, a Szerződés 2. pontjában részletezett gépjárművet megvásárolja az Eladótól azzal a kizárólagos céllal, hogy azt az Lízingbevevő részére nyílt végű pénzügyi lízingbe adja. A Lízingbevevő célja a szerződés megkötésével a lízingbe adott gépjármű határozott időre szóló használata, azzal, hogy szerződésszerű teljesítés esetén a nyílt végű pénzügyi lízing futamidejének lejártával a szerződésben meghatározott maradványértéken lehetősége lesz a lízingtárgy tulajdonjogának megszerzésére, vagy a tulajdonjog megszerzésére harmadik személy kijelölésére, vagy választása szerint a gépjármű tulajdonjog megszerzése nélküli visszaszolgáltatására a Lízingbeadó részére a Szerződésben foglalt feltételek szerint.</w:t>
      </w:r>
    </w:p>
    <w:p w:rsidR="00B3425D" w:rsidRDefault="001E357D">
      <w:pPr>
        <w:pStyle w:val="SRS"/>
        <w:numPr>
          <w:ilvl w:val="0"/>
          <w:numId w:val="1"/>
        </w:numPr>
        <w:ind w:left="0" w:firstLine="0"/>
      </w:pPr>
      <w:r>
        <w:rPr>
          <w:b/>
        </w:rPr>
        <w:t xml:space="preserve">A gépjármű </w:t>
      </w:r>
      <w:r>
        <w:t>típusa: ………………………….  , alvázszáma: ………………………, forgalmi rendszáma: ………………………...</w:t>
      </w:r>
    </w:p>
    <w:p w:rsidR="00B3425D" w:rsidRDefault="001E357D">
      <w:pPr>
        <w:pStyle w:val="SRS"/>
      </w:pPr>
      <w:r>
        <w:t xml:space="preserve">A gépjármű eladója: </w:t>
      </w:r>
      <w:r>
        <w:rPr>
          <w:b/>
        </w:rPr>
        <w:t>………………………….</w:t>
      </w:r>
      <w:r>
        <w:t xml:space="preserve"> (cím)  (a továbbiakban: </w:t>
      </w:r>
      <w:r>
        <w:rPr>
          <w:b/>
        </w:rPr>
        <w:t>Eladó</w:t>
      </w:r>
      <w:r>
        <w:t>).</w:t>
      </w:r>
    </w:p>
    <w:p w:rsidR="00B3425D" w:rsidRDefault="001E357D">
      <w:pPr>
        <w:pStyle w:val="SRS"/>
        <w:numPr>
          <w:ilvl w:val="0"/>
          <w:numId w:val="1"/>
        </w:numPr>
      </w:pPr>
      <w:r>
        <w:rPr>
          <w:b/>
        </w:rPr>
        <w:t>A gépjármű vételára:</w:t>
      </w:r>
      <w:r>
        <w:t xml:space="preserve"> …………………..,- Ft </w:t>
      </w:r>
    </w:p>
    <w:p w:rsidR="00B3425D" w:rsidRDefault="001E357D">
      <w:pPr>
        <w:pStyle w:val="SRS"/>
        <w:tabs>
          <w:tab w:val="left" w:pos="5103"/>
        </w:tabs>
      </w:pPr>
      <w:r>
        <w:t>A vételár részletezése:gépjármű  nettó vételára:</w:t>
      </w:r>
      <w:r>
        <w:tab/>
        <w:t>…………….,- Ft</w:t>
      </w:r>
    </w:p>
    <w:p w:rsidR="00B3425D" w:rsidRDefault="001E357D">
      <w:pPr>
        <w:pStyle w:val="SRS"/>
        <w:tabs>
          <w:tab w:val="left" w:pos="5103"/>
        </w:tabs>
      </w:pPr>
      <w:r>
        <w:t>+ nettó vételár után fizetendő ÁFA:</w:t>
      </w:r>
      <w:r>
        <w:tab/>
        <w:t>…………….,- Ft</w:t>
      </w:r>
    </w:p>
    <w:p w:rsidR="00B3425D" w:rsidRDefault="001E357D">
      <w:pPr>
        <w:pStyle w:val="SRS"/>
        <w:tabs>
          <w:tab w:val="left" w:pos="5103"/>
        </w:tabs>
      </w:pPr>
      <w:r>
        <w:t>= bruttó vételár:</w:t>
      </w:r>
      <w:r>
        <w:tab/>
        <w:t>……………..- Ft</w:t>
      </w:r>
    </w:p>
    <w:p w:rsidR="00B3425D" w:rsidRDefault="001E357D">
      <w:pPr>
        <w:pStyle w:val="SRS"/>
        <w:tabs>
          <w:tab w:val="left" w:pos="5103"/>
        </w:tabs>
      </w:pPr>
      <w:r>
        <w:t>+ regisztrációs adó:</w:t>
      </w:r>
      <w:r>
        <w:tab/>
        <w:t>0,- Ft</w:t>
      </w:r>
    </w:p>
    <w:p w:rsidR="00B3425D" w:rsidRDefault="001E357D">
      <w:pPr>
        <w:pStyle w:val="SRS"/>
        <w:tabs>
          <w:tab w:val="left" w:pos="5103"/>
        </w:tabs>
      </w:pPr>
      <w:r>
        <w:t>= szállítói számla összesen:</w:t>
      </w:r>
      <w:r>
        <w:tab/>
        <w:t>……………..,- Ft</w:t>
      </w:r>
    </w:p>
    <w:p w:rsidR="00B3425D" w:rsidRDefault="001E357D">
      <w:pPr>
        <w:pStyle w:val="SRS"/>
      </w:pPr>
      <w:r>
        <w:t>Amennyiben az Eladó a folyósítást követő 5 napon belül nem bocsátja ki a Budapest Bank  részére a fenti vételár részletezéssel egyező összegű számlát, a Budapest Bank jogosulttá válik a Szerződéstől és az Adásvételi Szerződéstől azonnali hatállyal elállni, és az eredeti állapotot helyreállítani.</w:t>
      </w:r>
    </w:p>
    <w:p w:rsidR="00B3425D" w:rsidRDefault="001E357D">
      <w:pPr>
        <w:pStyle w:val="SRS"/>
        <w:numPr>
          <w:ilvl w:val="0"/>
          <w:numId w:val="1"/>
        </w:numPr>
        <w:tabs>
          <w:tab w:val="left" w:pos="5103"/>
        </w:tabs>
        <w:ind w:left="357" w:hanging="357"/>
      </w:pPr>
      <w:r>
        <w:rPr>
          <w:b/>
        </w:rPr>
        <w:t>A Lízingbeadó által finanszírozott nettó összeg:</w:t>
      </w:r>
      <w:r>
        <w:rPr>
          <w:b/>
        </w:rPr>
        <w:tab/>
      </w:r>
      <w:r>
        <w:t>……………….,- Ft</w:t>
      </w:r>
    </w:p>
    <w:p w:rsidR="00B3425D" w:rsidRDefault="001E357D">
      <w:pPr>
        <w:pStyle w:val="SRS"/>
        <w:numPr>
          <w:ilvl w:val="0"/>
          <w:numId w:val="1"/>
        </w:numPr>
        <w:tabs>
          <w:tab w:val="left" w:pos="5103"/>
        </w:tabs>
        <w:ind w:left="357" w:hanging="357"/>
      </w:pPr>
      <w:r>
        <w:rPr>
          <w:b/>
        </w:rPr>
        <w:t>A lízing futamideje:</w:t>
      </w:r>
      <w:r>
        <w:tab/>
        <w:t>…………. hónap</w:t>
      </w:r>
    </w:p>
    <w:p w:rsidR="00B3425D" w:rsidRDefault="001E357D">
      <w:pPr>
        <w:pStyle w:val="SRS"/>
        <w:numPr>
          <w:ilvl w:val="0"/>
          <w:numId w:val="1"/>
        </w:numPr>
        <w:ind w:left="0" w:firstLine="0"/>
      </w:pPr>
      <w:r>
        <w:rPr>
          <w:b/>
        </w:rPr>
        <w:t>A kamatozás módja, az ügyleti kamatláb:</w:t>
      </w:r>
      <w:r>
        <w:t xml:space="preserve"> A Szerződés referencia-kamatlábhoz kötött kamatozású,  alapú, fix futamidejű. Az ügyleti kamatláb mértéke a Szerződés aláírásának naptári negyedévét megelőző hónap utolsó munkanapja előtti második napon érvényes referencia kamatláb és a kamatrés együttes összege, azaz az éves induló kamatláb </w:t>
      </w:r>
      <w:r>
        <w:rPr>
          <w:b/>
        </w:rPr>
        <w:t>…………….</w:t>
      </w:r>
      <w:proofErr w:type="spellStart"/>
      <w:r>
        <w:rPr>
          <w:b/>
        </w:rPr>
        <w:t>%p.a</w:t>
      </w:r>
      <w:proofErr w:type="spellEnd"/>
      <w:r>
        <w:rPr>
          <w:b/>
        </w:rPr>
        <w:t xml:space="preserve">. A Referencia kamat: 3 havi BUBOR, Kamatfelár: ……………….%, </w:t>
      </w:r>
      <w:r>
        <w:t xml:space="preserve">melynek mértéke a teljes futamidő alatt fix. Jelen szerződés alkalmazása során BUBOR a Budapesti Bankközi Forint Hitelkamatláb, az a BUBOR mindenkor hatályos szabályzatnak megfelelően a bankközi forintbetétekre számított átlagos éves kamatláb, amelyet az adott lejárati periódusra vonatkozóan a Magyar Nemzeti Bank az ügyleti kamatláb megállapításának napján honlapján az adott napra vonatkozó kamatlábként közöl. </w:t>
      </w:r>
    </w:p>
    <w:p w:rsidR="00B3425D" w:rsidRDefault="001E357D">
      <w:pPr>
        <w:pStyle w:val="SRS"/>
        <w:numPr>
          <w:ilvl w:val="0"/>
          <w:numId w:val="1"/>
        </w:numPr>
        <w:rPr>
          <w:b/>
        </w:rPr>
      </w:pPr>
      <w:r>
        <w:rPr>
          <w:b/>
        </w:rPr>
        <w:t xml:space="preserve">A Lízingbevevő fizetési kötelezettségeinek esedékessége és összege: </w:t>
      </w:r>
    </w:p>
    <w:p w:rsidR="00B3425D" w:rsidRDefault="001E357D">
      <w:pPr>
        <w:pStyle w:val="SRS"/>
      </w:pPr>
      <w:r>
        <w:t>A Lízingbevevő Első Befizetése az alábbi, 7.1 és 7.2 pontokban rögzített összegekből áll:</w:t>
      </w:r>
    </w:p>
    <w:p w:rsidR="00B3425D" w:rsidRDefault="001E357D">
      <w:pPr>
        <w:pStyle w:val="SRS"/>
        <w:tabs>
          <w:tab w:val="left" w:pos="6804"/>
        </w:tabs>
      </w:pPr>
      <w:r>
        <w:t>7.1. szerződéskötési díj, melynek összege:</w:t>
      </w:r>
      <w:r>
        <w:tab/>
        <w:t>….,- Ft</w:t>
      </w:r>
    </w:p>
    <w:p w:rsidR="00B3425D" w:rsidRDefault="001E357D">
      <w:pPr>
        <w:pStyle w:val="SRS"/>
        <w:tabs>
          <w:tab w:val="left" w:pos="6804"/>
        </w:tabs>
      </w:pPr>
      <w:r>
        <w:t>7.2. Lízingbe vevő saját része, amelyből a regisztrációs adó összege:</w:t>
      </w:r>
      <w:r>
        <w:tab/>
        <w:t xml:space="preserve">….,- Ft </w:t>
      </w:r>
    </w:p>
    <w:p w:rsidR="00B3425D" w:rsidRDefault="001E357D">
      <w:pPr>
        <w:pStyle w:val="SRS"/>
        <w:tabs>
          <w:tab w:val="left" w:pos="6804"/>
        </w:tabs>
      </w:pPr>
      <w:r>
        <w:t>és az első lízingdíj összege:</w:t>
      </w:r>
      <w:r>
        <w:tab/>
        <w:t>….,- Ft</w:t>
      </w:r>
    </w:p>
    <w:p w:rsidR="00B3425D" w:rsidRDefault="001E357D">
      <w:pPr>
        <w:pStyle w:val="SRS"/>
      </w:pPr>
      <w:r>
        <w:t xml:space="preserve">7.3. A lízingdíjak induló összege: a havi törlesztő részletek induló összegét tartalmazó </w:t>
      </w:r>
      <w:proofErr w:type="spellStart"/>
      <w:r>
        <w:t>törlesztőtervet</w:t>
      </w:r>
      <w:proofErr w:type="spellEnd"/>
      <w:r>
        <w:t xml:space="preserve"> a Szerződés 1. sz. melléklete tartalmazza. A lízingdíj ÁFA tartalmának alapja a lízingdíj tőke része. Az egyes lízingdíjak összege az Üzletszabályzatban foglaltak szerint változhat, melyről a Budapest Bank írásban értesíti a Lízingbevevőt. </w:t>
      </w:r>
    </w:p>
    <w:p w:rsidR="00B3425D" w:rsidRDefault="001E357D">
      <w:pPr>
        <w:pStyle w:val="SRS"/>
      </w:pPr>
      <w:r>
        <w:t xml:space="preserve">7.4. </w:t>
      </w:r>
      <w:r>
        <w:rPr>
          <w:b/>
        </w:rPr>
        <w:t>Maradványérték</w:t>
      </w:r>
      <w:r>
        <w:t>, melynek összege nettó ………………..,</w:t>
      </w:r>
      <w:proofErr w:type="spellStart"/>
      <w:r>
        <w:t>-Ft</w:t>
      </w:r>
      <w:proofErr w:type="spellEnd"/>
      <w:r>
        <w:t xml:space="preserve"> +ÁFA, megfizetése az Üzletszabályzat rendelkezései alapján esedékes. A maradványérték 20 000 km / 12 hónap átlagos futásteljesítmény feltételezésével került meghatározásra.</w:t>
      </w:r>
    </w:p>
    <w:p w:rsidR="00B3425D" w:rsidRDefault="001E357D">
      <w:pPr>
        <w:pStyle w:val="SRS"/>
      </w:pPr>
      <w:r>
        <w:t xml:space="preserve">7.5. Módosítási díj, rendkívüli zárlati díj, egyéb díjak, költségek az Üzletszabályzatban illetve a Hirdetményben foglaltak szerint kerülnek felszámításra. </w:t>
      </w:r>
    </w:p>
    <w:p w:rsidR="00B3425D" w:rsidRDefault="001E357D">
      <w:pPr>
        <w:pStyle w:val="SRS"/>
      </w:pPr>
      <w:r>
        <w:t xml:space="preserve">7.6. A Lízingbevevő köteles megtéríteni a Budapest Banknak a lízingelt </w:t>
      </w:r>
      <w:proofErr w:type="spellStart"/>
      <w:r>
        <w:t>gépjárműhöz</w:t>
      </w:r>
      <w:proofErr w:type="spellEnd"/>
      <w:r>
        <w:t xml:space="preserve"> kapcsolódó adó-, járulék-, és illetékfizetési kötelezettségéből keletkezett és jövőben keletkező költségeit, valamint a lízing MOKK Hitelbiztosítéki Nyilvántartásba történő bejegyzésével kapcsolatos költséget, melynek esedékessége megegyezik az első havi </w:t>
      </w:r>
      <w:proofErr w:type="spellStart"/>
      <w:r>
        <w:t>törlesztőrészlet</w:t>
      </w:r>
      <w:proofErr w:type="spellEnd"/>
      <w:r>
        <w:t xml:space="preserve"> esedékességével.</w:t>
      </w:r>
    </w:p>
    <w:p w:rsidR="00B3425D" w:rsidRDefault="001E357D">
      <w:pPr>
        <w:pStyle w:val="SRS"/>
        <w:numPr>
          <w:ilvl w:val="0"/>
          <w:numId w:val="1"/>
        </w:numPr>
        <w:ind w:left="0" w:firstLine="0"/>
      </w:pPr>
      <w:r>
        <w:rPr>
          <w:b/>
        </w:rPr>
        <w:t>Biztosítások:</w:t>
      </w:r>
      <w:r>
        <w:t xml:space="preserve"> A Lízingbevevő a gépjárműre gépjármű felelősségbiztosítási szerződést köt az Üzletszabályzat szerint. Lízingbeadó a Lízingbevevő írásbeli igénye alapján eltekint a casco biztosítás megkötésétől. Lízingbevevő a Szerződésben és az Üzletszabályzatban foglalt kötelezettségeit a “casco-mentesség” nem érinti. A Lízingbevevő felhatalmazza a Budapest Bankot arra, hogy lopáskár esetén, a kárügyintézés meggyorsítása érdekében, az érintett Biztosító társaságnak betekintést biztosítson a Lízingbevevő adataiba.</w:t>
      </w:r>
    </w:p>
    <w:p w:rsidR="00B3425D" w:rsidRDefault="001E357D">
      <w:pPr>
        <w:pStyle w:val="SRS"/>
        <w:numPr>
          <w:ilvl w:val="0"/>
          <w:numId w:val="1"/>
        </w:numPr>
        <w:ind w:left="0" w:firstLine="0"/>
      </w:pPr>
      <w:r>
        <w:rPr>
          <w:b/>
        </w:rPr>
        <w:t>A vételár folyósítása:</w:t>
      </w:r>
      <w:r>
        <w:t xml:space="preserve"> A Budapest Bank az Üzletszabályzatban meghatározott feltételek teljesülése esetén folyósítja a vételárhátralékot, amennyiben a Lízingbevevő a MOKK Hitelbiztosítéki Nyilvántartás regisztrált felhasználója. A Budapest Bank egyedi döntése alapján a gépjármű Lízingbevevő általi átvételét megelőzően is folyósíthatja a vételárhátralékot.</w:t>
      </w:r>
    </w:p>
    <w:p w:rsidR="00B3425D" w:rsidRDefault="001E357D">
      <w:pPr>
        <w:pStyle w:val="SRS"/>
        <w:numPr>
          <w:ilvl w:val="0"/>
          <w:numId w:val="1"/>
        </w:numPr>
        <w:ind w:left="0" w:firstLine="0"/>
      </w:pPr>
      <w:r>
        <w:rPr>
          <w:b/>
        </w:rPr>
        <w:lastRenderedPageBreak/>
        <w:t>Üzletszabályzat:</w:t>
      </w:r>
      <w:r>
        <w:t xml:space="preserve"> A Szerződésben nem szabályozott kérdésekben az Üzletszabályzat irányadó. </w:t>
      </w:r>
      <w:r>
        <w:rPr>
          <w:b/>
        </w:rPr>
        <w:t>A Lízingbevevő a Szerződés aláírásával kijelenti, hogy az Üzletszabályzatot átvette, megismerte és az abban foglaltakat magára nézve kötelezőnek ismeri el. A Felek rögzítik, hogy ha valamely kérdésben az Üzletszabályzat és jelen Szerződés rendelkezései eltérnek egymástól vagy ellentmondó rendelkezéseket tartalmaznak, jelen Szerződés rendelkezései az irányadók.</w:t>
      </w:r>
    </w:p>
    <w:p w:rsidR="00B3425D" w:rsidRDefault="001E357D">
      <w:pPr>
        <w:pStyle w:val="SRS"/>
        <w:numPr>
          <w:ilvl w:val="0"/>
          <w:numId w:val="1"/>
        </w:numPr>
        <w:ind w:left="0" w:firstLine="0"/>
      </w:pPr>
      <w:r>
        <w:t xml:space="preserve">A pénzmosás és a terrorizmus finanszírozása megelőzéséről és megakadályozásáról szóló 2007. évi CXXXVI. törvény 8/A § alapján a </w:t>
      </w:r>
      <w:r>
        <w:rPr>
          <w:b/>
        </w:rPr>
        <w:t>tényleges tulajdonos személyazonosságára vonatkozó adatokat</w:t>
      </w:r>
      <w:r>
        <w:t xml:space="preserve"> a Budapest Bank </w:t>
      </w:r>
      <w:proofErr w:type="spellStart"/>
      <w:r>
        <w:t>Zrt</w:t>
      </w:r>
      <w:proofErr w:type="spellEnd"/>
      <w:r>
        <w:t xml:space="preserve">. állapítja meg és rögzíti. </w:t>
      </w:r>
    </w:p>
    <w:p w:rsidR="00B3425D" w:rsidRDefault="001E357D">
      <w:pPr>
        <w:pStyle w:val="SRS"/>
        <w:numPr>
          <w:ilvl w:val="0"/>
          <w:numId w:val="1"/>
        </w:numPr>
        <w:ind w:left="0" w:firstLine="0"/>
      </w:pPr>
      <w:r>
        <w:t>A Szerződés alapján a Lízingbeadó által kibocsátott számlákat a Lízingbevevő saját döntése és felelőssége alapján kezeli saját könyvelésében és adózásában. Az ügylet során áthárított forgalmi adó levonásának lehetősége a Lízingbevevő döntésének függvénye, azért a Lízingbeadó felelősséget semmilyen formában sem vállal.</w:t>
      </w:r>
    </w:p>
    <w:p w:rsidR="00B3425D" w:rsidRDefault="001E357D">
      <w:pPr>
        <w:pStyle w:val="SRS"/>
        <w:numPr>
          <w:ilvl w:val="0"/>
          <w:numId w:val="1"/>
        </w:numPr>
        <w:ind w:left="0" w:firstLine="0"/>
      </w:pPr>
      <w:r>
        <w:rPr>
          <w:b/>
        </w:rPr>
        <w:t>Hatálybalépés:</w:t>
      </w:r>
      <w:r>
        <w:t xml:space="preserve"> Jelen Szerződés hatályba lépésének dátuma megegyezik a Gépjármű Adásvételi Szerződés hatályba lépésének  dátumával.</w:t>
      </w:r>
    </w:p>
    <w:p w:rsidR="00B3425D" w:rsidRDefault="001E357D">
      <w:pPr>
        <w:pStyle w:val="SRS"/>
        <w:numPr>
          <w:ilvl w:val="0"/>
          <w:numId w:val="1"/>
        </w:numPr>
        <w:ind w:left="0" w:firstLine="0"/>
      </w:pPr>
      <w:r>
        <w:t xml:space="preserve">A szerződés a </w:t>
      </w:r>
      <w:r>
        <w:rPr>
          <w:b/>
        </w:rPr>
        <w:t>központi hitelinformációs rendszerről</w:t>
      </w:r>
      <w:r>
        <w:t xml:space="preserve"> szóló 2011. évi CXXII. törvény alkalmazása vonatkozásában a folyósítás időpontjában lép hatályba.</w:t>
      </w:r>
    </w:p>
    <w:p w:rsidR="00B3425D" w:rsidRDefault="001E357D">
      <w:pPr>
        <w:pStyle w:val="SRS"/>
        <w:numPr>
          <w:ilvl w:val="0"/>
          <w:numId w:val="1"/>
        </w:numPr>
        <w:ind w:left="0" w:firstLine="0"/>
      </w:pPr>
      <w:r>
        <w:t xml:space="preserve">A Felek az Üzletszabályzat 27.1.B alpontjának második pontjától eltérően megállapodnak, hogy a szerződés abban az esetben szűnik meg, ha aláírását követően új gépjármű esetén 3, használt gépjármű esetén 2 hónapon belül nem kerül sor folyósításra.  </w:t>
      </w:r>
    </w:p>
    <w:p w:rsidR="00B3425D" w:rsidRDefault="001E357D">
      <w:pPr>
        <w:pStyle w:val="SRS"/>
      </w:pPr>
      <w:r>
        <w:t xml:space="preserve">Ugyanezen lízingtárgyra vonatkozóan a Felek által a Szerződést megelőzően, ugyanezen szerződésszámon kötött, M4_0000055489 ügyletazonosító sorszámnál kisebb sorszámmal rendelkező szerződések érvénytelenek. </w:t>
      </w:r>
    </w:p>
    <w:p w:rsidR="00B3425D" w:rsidRDefault="00B3425D">
      <w:pPr>
        <w:pStyle w:val="SRS"/>
      </w:pPr>
    </w:p>
    <w:tbl>
      <w:tblPr>
        <w:tblStyle w:val="Rcsostblzat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19"/>
        <w:gridCol w:w="425"/>
        <w:gridCol w:w="5664"/>
      </w:tblGrid>
      <w:tr w:rsidR="00B3425D">
        <w:tc>
          <w:tcPr>
            <w:tcW w:w="4219" w:type="dxa"/>
          </w:tcPr>
          <w:p w:rsidR="00B3425D" w:rsidRDefault="001E357D" w:rsidP="00C32AB2">
            <w:pPr>
              <w:pStyle w:val="SRS"/>
              <w:rPr>
                <w:lang w:val="de-AT"/>
              </w:rPr>
            </w:pPr>
            <w:r>
              <w:rPr>
                <w:lang w:val="de-AT"/>
              </w:rPr>
              <w:t xml:space="preserve">Kelt, </w:t>
            </w:r>
            <w:r w:rsidR="00C32AB2">
              <w:rPr>
                <w:lang w:val="de-AT"/>
              </w:rPr>
              <w:t>……….</w:t>
            </w:r>
            <w:r>
              <w:rPr>
                <w:lang w:val="de-AT"/>
              </w:rPr>
              <w:t xml:space="preserve"> </w:t>
            </w:r>
          </w:p>
        </w:tc>
        <w:tc>
          <w:tcPr>
            <w:tcW w:w="425" w:type="dxa"/>
          </w:tcPr>
          <w:p w:rsidR="00B3425D" w:rsidRDefault="00B3425D">
            <w:pPr>
              <w:pStyle w:val="SRS"/>
              <w:rPr>
                <w:lang w:val="de-AT"/>
              </w:rPr>
            </w:pPr>
          </w:p>
        </w:tc>
        <w:tc>
          <w:tcPr>
            <w:tcW w:w="5664" w:type="dxa"/>
          </w:tcPr>
          <w:p w:rsidR="00B3425D" w:rsidRDefault="00B3425D">
            <w:pPr>
              <w:pStyle w:val="SRS"/>
            </w:pPr>
          </w:p>
        </w:tc>
      </w:tr>
    </w:tbl>
    <w:p w:rsidR="00B3425D" w:rsidRDefault="00B3425D">
      <w:pPr>
        <w:pStyle w:val="SRS"/>
      </w:pPr>
    </w:p>
    <w:p w:rsidR="00B3425D" w:rsidRDefault="001E357D">
      <w:pPr>
        <w:pStyle w:val="SRS"/>
        <w:tabs>
          <w:tab w:val="left" w:pos="5103"/>
        </w:tabs>
        <w:ind w:left="6"/>
      </w:pPr>
      <w:r>
        <w:tab/>
      </w:r>
    </w:p>
    <w:p w:rsidR="00B3425D" w:rsidRDefault="00B3425D">
      <w:pPr>
        <w:pStyle w:val="SRS"/>
        <w:tabs>
          <w:tab w:val="left" w:pos="5103"/>
        </w:tabs>
        <w:ind w:left="6"/>
      </w:pPr>
    </w:p>
    <w:p w:rsidR="00B3425D" w:rsidRDefault="00B3425D">
      <w:pPr>
        <w:pStyle w:val="SRS"/>
      </w:pPr>
    </w:p>
    <w:tbl>
      <w:tblPr>
        <w:tblW w:w="9752" w:type="dxa"/>
        <w:tblInd w:w="284" w:type="dxa"/>
        <w:tblCellMar>
          <w:top w:w="85" w:type="dxa"/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83"/>
        <w:gridCol w:w="5217"/>
      </w:tblGrid>
      <w:tr w:rsidR="00B3425D">
        <w:tc>
          <w:tcPr>
            <w:tcW w:w="4252" w:type="dxa"/>
            <w:vAlign w:val="center"/>
          </w:tcPr>
          <w:p w:rsidR="00B3425D" w:rsidRDefault="001E357D">
            <w:pPr>
              <w:pStyle w:val="SRS"/>
              <w:jc w:val="center"/>
            </w:pPr>
            <w:r>
              <w:t>………………………………………………</w:t>
            </w:r>
          </w:p>
        </w:tc>
        <w:tc>
          <w:tcPr>
            <w:tcW w:w="283" w:type="dxa"/>
            <w:vAlign w:val="center"/>
          </w:tcPr>
          <w:p w:rsidR="00B3425D" w:rsidRDefault="00B3425D">
            <w:pPr>
              <w:pStyle w:val="SRS"/>
            </w:pPr>
          </w:p>
        </w:tc>
        <w:tc>
          <w:tcPr>
            <w:tcW w:w="5217" w:type="dxa"/>
            <w:vAlign w:val="center"/>
          </w:tcPr>
          <w:p w:rsidR="00B3425D" w:rsidRDefault="001E357D">
            <w:pPr>
              <w:pStyle w:val="SRS"/>
              <w:jc w:val="center"/>
            </w:pPr>
            <w:r>
              <w:t>……………………………………………….</w:t>
            </w:r>
          </w:p>
        </w:tc>
      </w:tr>
      <w:tr w:rsidR="00B3425D">
        <w:tc>
          <w:tcPr>
            <w:tcW w:w="4252" w:type="dxa"/>
          </w:tcPr>
          <w:p w:rsidR="00B3425D" w:rsidRDefault="001E357D">
            <w:pPr>
              <w:pStyle w:val="SRS"/>
              <w:jc w:val="center"/>
            </w:pPr>
            <w:r>
              <w:rPr>
                <w:b/>
              </w:rPr>
              <w:t xml:space="preserve">Budapest Bank </w:t>
            </w:r>
            <w:proofErr w:type="spellStart"/>
            <w:r>
              <w:rPr>
                <w:b/>
              </w:rPr>
              <w:t>Zrt</w:t>
            </w:r>
            <w:proofErr w:type="spellEnd"/>
            <w:r>
              <w:t>.</w:t>
            </w:r>
          </w:p>
          <w:p w:rsidR="00B3425D" w:rsidRDefault="001E357D" w:rsidP="00C32AB2">
            <w:pPr>
              <w:pStyle w:val="SRS"/>
              <w:jc w:val="center"/>
            </w:pPr>
            <w:r>
              <w:t xml:space="preserve">(helyett és nevében eljárva: </w:t>
            </w:r>
            <w:r w:rsidR="00C32AB2">
              <w:t>……..</w:t>
            </w:r>
            <w:r>
              <w:t xml:space="preserve">*) </w:t>
            </w:r>
          </w:p>
        </w:tc>
        <w:tc>
          <w:tcPr>
            <w:tcW w:w="283" w:type="dxa"/>
            <w:vAlign w:val="center"/>
          </w:tcPr>
          <w:p w:rsidR="00B3425D" w:rsidRDefault="00B3425D">
            <w:pPr>
              <w:pStyle w:val="SRS"/>
            </w:pPr>
          </w:p>
        </w:tc>
        <w:tc>
          <w:tcPr>
            <w:tcW w:w="5217" w:type="dxa"/>
          </w:tcPr>
          <w:p w:rsidR="00B3425D" w:rsidRDefault="001E357D">
            <w:pPr>
              <w:pStyle w:val="SRS"/>
              <w:jc w:val="center"/>
              <w:rPr>
                <w:sz w:val="20"/>
              </w:rPr>
            </w:pPr>
            <w:r>
              <w:rPr>
                <w:b/>
              </w:rPr>
              <w:t>Lízingbevevő</w:t>
            </w:r>
            <w:r>
              <w:rPr>
                <w:sz w:val="20"/>
              </w:rPr>
              <w:t xml:space="preserve"> </w:t>
            </w:r>
          </w:p>
        </w:tc>
      </w:tr>
    </w:tbl>
    <w:p w:rsidR="00B3425D" w:rsidRDefault="001E357D">
      <w:pPr>
        <w:pStyle w:val="SRS"/>
        <w:jc w:val="right"/>
      </w:pPr>
      <w:r>
        <w:rPr>
          <w:sz w:val="16"/>
        </w:rPr>
        <w:t>(Kizárólag aláírási címpéldánnyal megegyező aláírás fogadható el)</w:t>
      </w:r>
    </w:p>
    <w:p w:rsidR="00B3425D" w:rsidRDefault="00B3425D">
      <w:pPr>
        <w:pStyle w:val="SRS"/>
        <w:jc w:val="right"/>
      </w:pPr>
    </w:p>
    <w:p w:rsidR="00B3425D" w:rsidRDefault="001E357D">
      <w:pPr>
        <w:pStyle w:val="SRS"/>
      </w:pPr>
      <w:r>
        <w:t xml:space="preserve"> Előttünk, mint Tanúk előtt:</w:t>
      </w:r>
    </w:p>
    <w:tbl>
      <w:tblPr>
        <w:tblW w:w="9209" w:type="dxa"/>
        <w:tblInd w:w="1843" w:type="dxa"/>
        <w:tblLayout w:type="fixed"/>
        <w:tblCellMar>
          <w:top w:w="8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35"/>
        <w:gridCol w:w="137"/>
        <w:gridCol w:w="5953"/>
      </w:tblGrid>
      <w:tr w:rsidR="00B3425D">
        <w:trPr>
          <w:trHeight w:hRule="exact" w:val="648"/>
        </w:trPr>
        <w:tc>
          <w:tcPr>
            <w:tcW w:w="284" w:type="dxa"/>
          </w:tcPr>
          <w:p w:rsidR="00B3425D" w:rsidRDefault="001E357D">
            <w:pPr>
              <w:pStyle w:val="SRS"/>
            </w:pPr>
            <w:r>
              <w:t>1.</w:t>
            </w:r>
          </w:p>
        </w:tc>
        <w:tc>
          <w:tcPr>
            <w:tcW w:w="2835" w:type="dxa"/>
          </w:tcPr>
          <w:p w:rsidR="00B3425D" w:rsidRDefault="001E357D">
            <w:pPr>
              <w:pStyle w:val="SRS"/>
              <w:jc w:val="center"/>
            </w:pPr>
            <w:r>
              <w:t>..……………………………</w:t>
            </w:r>
          </w:p>
          <w:p w:rsidR="00B3425D" w:rsidRDefault="001E357D">
            <w:pPr>
              <w:pStyle w:val="SRS"/>
              <w:jc w:val="center"/>
            </w:pPr>
            <w:r>
              <w:t>aláírás</w:t>
            </w:r>
          </w:p>
        </w:tc>
        <w:tc>
          <w:tcPr>
            <w:tcW w:w="137" w:type="dxa"/>
            <w:vAlign w:val="center"/>
          </w:tcPr>
          <w:p w:rsidR="00B3425D" w:rsidRDefault="00B3425D">
            <w:pPr>
              <w:pStyle w:val="SRS"/>
            </w:pPr>
          </w:p>
        </w:tc>
        <w:tc>
          <w:tcPr>
            <w:tcW w:w="5953" w:type="dxa"/>
          </w:tcPr>
          <w:p w:rsidR="00B3425D" w:rsidRDefault="001E357D">
            <w:pPr>
              <w:pStyle w:val="SRS"/>
            </w:pPr>
            <w:r>
              <w:t xml:space="preserve">…………………………………………………………… </w:t>
            </w:r>
          </w:p>
          <w:p w:rsidR="00B3425D" w:rsidRDefault="001E357D">
            <w:pPr>
              <w:pStyle w:val="SRS"/>
              <w:jc w:val="center"/>
            </w:pPr>
            <w:r>
              <w:t>Név, cím, személyazonosító okmány száma</w:t>
            </w:r>
          </w:p>
        </w:tc>
      </w:tr>
      <w:tr w:rsidR="00B3425D">
        <w:trPr>
          <w:trHeight w:hRule="exact" w:val="828"/>
        </w:trPr>
        <w:tc>
          <w:tcPr>
            <w:tcW w:w="284" w:type="dxa"/>
          </w:tcPr>
          <w:p w:rsidR="00B3425D" w:rsidRDefault="00B3425D">
            <w:pPr>
              <w:pStyle w:val="SRS"/>
            </w:pPr>
          </w:p>
          <w:p w:rsidR="00B3425D" w:rsidRDefault="001E357D">
            <w:pPr>
              <w:pStyle w:val="SRS"/>
            </w:pPr>
            <w:r>
              <w:t>2.</w:t>
            </w:r>
          </w:p>
        </w:tc>
        <w:tc>
          <w:tcPr>
            <w:tcW w:w="2835" w:type="dxa"/>
          </w:tcPr>
          <w:p w:rsidR="00B3425D" w:rsidRDefault="00B3425D">
            <w:pPr>
              <w:pStyle w:val="SRS"/>
              <w:jc w:val="center"/>
            </w:pPr>
          </w:p>
          <w:p w:rsidR="00B3425D" w:rsidRDefault="001E357D">
            <w:pPr>
              <w:pStyle w:val="SRS"/>
              <w:jc w:val="center"/>
            </w:pPr>
            <w:r>
              <w:t>…………………………….</w:t>
            </w:r>
          </w:p>
          <w:p w:rsidR="00B3425D" w:rsidRDefault="001E357D">
            <w:pPr>
              <w:pStyle w:val="SRS"/>
              <w:jc w:val="center"/>
            </w:pPr>
            <w:r>
              <w:t>aláírás</w:t>
            </w:r>
          </w:p>
        </w:tc>
        <w:tc>
          <w:tcPr>
            <w:tcW w:w="137" w:type="dxa"/>
            <w:vAlign w:val="center"/>
          </w:tcPr>
          <w:p w:rsidR="00B3425D" w:rsidRDefault="00B3425D">
            <w:pPr>
              <w:pStyle w:val="SRS"/>
            </w:pPr>
          </w:p>
        </w:tc>
        <w:tc>
          <w:tcPr>
            <w:tcW w:w="5953" w:type="dxa"/>
          </w:tcPr>
          <w:p w:rsidR="00B3425D" w:rsidRDefault="00B3425D">
            <w:pPr>
              <w:pStyle w:val="SRS"/>
              <w:jc w:val="center"/>
            </w:pPr>
          </w:p>
          <w:p w:rsidR="00B3425D" w:rsidRDefault="001E357D">
            <w:pPr>
              <w:pStyle w:val="SRS"/>
            </w:pPr>
            <w:r>
              <w:t>……………………………………………………………</w:t>
            </w:r>
          </w:p>
          <w:p w:rsidR="00B3425D" w:rsidRDefault="001E357D">
            <w:pPr>
              <w:pStyle w:val="SRS"/>
              <w:jc w:val="center"/>
            </w:pPr>
            <w:r>
              <w:t>Név, cím, személyazonosító okmány száma</w:t>
            </w:r>
          </w:p>
        </w:tc>
      </w:tr>
    </w:tbl>
    <w:p w:rsidR="00B3425D" w:rsidRDefault="00B3425D">
      <w:pPr>
        <w:pStyle w:val="SRS"/>
        <w:rPr>
          <w:shd w:val="clear" w:color="auto" w:fill="00FF00"/>
        </w:rPr>
      </w:pPr>
    </w:p>
    <w:p w:rsidR="00B3425D" w:rsidRDefault="001E357D">
      <w:pPr>
        <w:pStyle w:val="SRS"/>
        <w:rPr>
          <w:sz w:val="14"/>
        </w:rPr>
      </w:pPr>
      <w:r>
        <w:rPr>
          <w:sz w:val="18"/>
        </w:rPr>
        <w:t>* Mint meghatalmazott jelen szerződés aláírásával egyben igazolom, hogy az ügyfél azonosítását a Pénzügyi Közvetítő oldalán az arra jogosult személy a hatályos, vonatkozó jogszabályoknak megfelelően végrehajtotta.</w:t>
      </w:r>
    </w:p>
    <w:p w:rsidR="00B3425D" w:rsidRDefault="00B3425D">
      <w:pPr>
        <w:pStyle w:val="SRS"/>
      </w:pPr>
    </w:p>
    <w:p w:rsidR="00B3425D" w:rsidRDefault="001E357D">
      <w:pPr>
        <w:pStyle w:val="SRS"/>
      </w:pPr>
      <w:r>
        <w:t xml:space="preserve">Mellékletek: Gépjármű Adásvételi Szerződés, Ügyfél Tényleges Tulajdonosi nyilatkozata (ha a 11. pont alapján szükséges), Üzletszabályzat, Hirdetmény, Készfizető Kezességvállalási Szerződés vagy Garanciavállaló Nyilatkozat (ha a Budapest Bank előírta), Gépjármű Átadás-átvételi Jegyzőkönyv, </w:t>
      </w:r>
      <w:proofErr w:type="spellStart"/>
      <w:r>
        <w:t>Törlesztőterv</w:t>
      </w:r>
      <w:proofErr w:type="spellEnd"/>
    </w:p>
    <w:p w:rsidR="00B3425D" w:rsidRDefault="00B3425D">
      <w:pPr>
        <w:pStyle w:val="SRS"/>
      </w:pPr>
    </w:p>
    <w:p w:rsidR="00B3425D" w:rsidRPr="00C32AB2" w:rsidRDefault="00B3425D" w:rsidP="00C32AB2">
      <w:pPr>
        <w:pStyle w:val="SRS"/>
        <w:rPr>
          <w:rFonts w:cs="Arial"/>
        </w:rPr>
      </w:pPr>
    </w:p>
    <w:sectPr w:rsidR="00B3425D" w:rsidRPr="00C32A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624" w:bottom="1418" w:left="62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BE" w:rsidRDefault="001E357D">
      <w:pPr>
        <w:spacing w:after="0" w:line="240" w:lineRule="auto"/>
      </w:pPr>
      <w:r>
        <w:separator/>
      </w:r>
    </w:p>
  </w:endnote>
  <w:endnote w:type="continuationSeparator" w:id="0">
    <w:p w:rsidR="00A01FBE" w:rsidRDefault="001E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 Inspira">
    <w:altName w:val="Calibri"/>
    <w:panose1 w:val="020F0603030400020203"/>
    <w:charset w:val="EE"/>
    <w:family w:val="swiss"/>
    <w:pitch w:val="variable"/>
    <w:sig w:usb0="00000001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B2" w:rsidRDefault="00C32A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5D" w:rsidRDefault="001E357D">
    <w:pPr>
      <w:pStyle w:val="SRS"/>
      <w:tabs>
        <w:tab w:val="right" w:pos="10773"/>
      </w:tabs>
    </w:pPr>
    <w:r>
      <w:fldChar w:fldCharType="begin"/>
    </w:r>
    <w:r>
      <w:instrText xml:space="preserve"> PAGE   \* MERGEFORMAT </w:instrText>
    </w:r>
    <w:r>
      <w:fldChar w:fldCharType="separate"/>
    </w:r>
    <w:r w:rsidR="00C32AB2">
      <w:rPr>
        <w:noProof/>
      </w:rPr>
      <w:t>2</w:t>
    </w:r>
    <w:r>
      <w:fldChar w:fldCharType="end"/>
    </w:r>
    <w:r>
      <w:t>/</w:t>
    </w:r>
    <w:fldSimple w:instr=" NUMPAGES   \* MERGEFORMAT ">
      <w:r w:rsidR="00C32AB2">
        <w:rPr>
          <w:noProof/>
        </w:rPr>
        <w:t>2</w:t>
      </w:r>
    </w:fldSimple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5D" w:rsidRDefault="001E357D">
    <w:pPr>
      <w:pStyle w:val="SRS"/>
      <w:tabs>
        <w:tab w:val="right" w:pos="10773"/>
      </w:tabs>
    </w:pPr>
    <w:r>
      <w:rPr>
        <w:noProof/>
        <w:lang w:bidi="ar-SA"/>
      </w:rPr>
      <w:drawing>
        <wp:anchor distT="0" distB="0" distL="114300" distR="114300" simplePos="0" relativeHeight="2048" behindDoc="1" locked="0" layoutInCell="1" allowOverlap="1" wp14:anchorId="29AECA95" wp14:editId="319E7EE3">
          <wp:simplePos x="0" y="0"/>
          <wp:positionH relativeFrom="column">
            <wp:posOffset>-824229</wp:posOffset>
          </wp:positionH>
          <wp:positionV relativeFrom="paragraph">
            <wp:posOffset>-393064</wp:posOffset>
          </wp:positionV>
          <wp:extent cx="8477250" cy="847725"/>
          <wp:effectExtent l="0" t="0" r="0" b="9525"/>
          <wp:wrapNone/>
          <wp:docPr id="2" name="Picture_1" descr="Picture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_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772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20"/>
      </w:rPr>
      <w:fldChar w:fldCharType="begin"/>
    </w:r>
    <w:r>
      <w:rPr>
        <w:szCs w:val="20"/>
      </w:rPr>
      <w:instrText xml:space="preserve"> PAGE   \* MERGEFORMAT </w:instrText>
    </w:r>
    <w:r>
      <w:rPr>
        <w:szCs w:val="20"/>
      </w:rPr>
      <w:fldChar w:fldCharType="separate"/>
    </w:r>
    <w:r w:rsidR="00C32AB2">
      <w:rPr>
        <w:noProof/>
        <w:szCs w:val="20"/>
      </w:rPr>
      <w:t>1</w:t>
    </w:r>
    <w:r>
      <w:rPr>
        <w:szCs w:val="20"/>
      </w:rPr>
      <w:fldChar w:fldCharType="end"/>
    </w:r>
    <w:r>
      <w:rPr>
        <w:szCs w:val="20"/>
      </w:rPr>
      <w:t>/</w:t>
    </w:r>
    <w:r>
      <w:rPr>
        <w:szCs w:val="20"/>
      </w:rPr>
      <w:fldChar w:fldCharType="begin"/>
    </w:r>
    <w:r>
      <w:rPr>
        <w:szCs w:val="20"/>
      </w:rPr>
      <w:instrText xml:space="preserve"> NUMPAGES   \* MERGEFORMAT </w:instrText>
    </w:r>
    <w:r>
      <w:rPr>
        <w:szCs w:val="20"/>
      </w:rPr>
      <w:fldChar w:fldCharType="separate"/>
    </w:r>
    <w:r w:rsidR="00C32AB2">
      <w:rPr>
        <w:noProof/>
        <w:szCs w:val="20"/>
      </w:rPr>
      <w:t>2</w:t>
    </w:r>
    <w:r>
      <w:rPr>
        <w:szCs w:val="20"/>
      </w:rPr>
      <w:fldChar w:fldCharType="end"/>
    </w: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5D" w:rsidRDefault="001E357D">
      <w:pPr>
        <w:spacing w:after="0" w:line="240" w:lineRule="auto"/>
      </w:pPr>
      <w:r>
        <w:separator/>
      </w:r>
    </w:p>
  </w:footnote>
  <w:footnote w:type="continuationSeparator" w:id="0">
    <w:p w:rsidR="00B3425D" w:rsidRDefault="001E3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B2" w:rsidRDefault="00C32AB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5578" o:spid="_x0000_s2052" type="#_x0000_t136" style="position:absolute;margin-left:0;margin-top:0;width:500.85pt;height:250.4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INT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B2" w:rsidRDefault="00C32AB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5579" o:spid="_x0000_s2053" type="#_x0000_t136" style="position:absolute;margin-left:0;margin-top:0;width:500.85pt;height:250.4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INT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5D" w:rsidRDefault="00C32AB2">
    <w:pPr>
      <w:pStyle w:val="lfej"/>
      <w:ind w:firstLine="1416"/>
      <w:rPr>
        <w:rFonts w:ascii="Open Sans" w:hAnsi="Open Sans" w:cs="Open Sans"/>
        <w:b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5577" o:spid="_x0000_s2051" type="#_x0000_t136" style="position:absolute;left:0;text-align:left;margin-left:0;margin-top:0;width:500.85pt;height:250.4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INTA"/>
        </v:shape>
      </w:pict>
    </w:r>
    <w:r w:rsidR="001E357D">
      <w:rPr>
        <w:noProof/>
        <w:lang w:bidi="ar-SA"/>
      </w:rPr>
      <w:drawing>
        <wp:anchor distT="0" distB="0" distL="114300" distR="114300" simplePos="0" relativeHeight="1024" behindDoc="1" locked="0" layoutInCell="1" allowOverlap="1" wp14:anchorId="10D84946" wp14:editId="547FAE56">
          <wp:simplePos x="0" y="0"/>
          <wp:positionH relativeFrom="column">
            <wp:posOffset>-426084</wp:posOffset>
          </wp:positionH>
          <wp:positionV relativeFrom="paragraph">
            <wp:posOffset>-302259</wp:posOffset>
          </wp:positionV>
          <wp:extent cx="7744460" cy="809625"/>
          <wp:effectExtent l="0" t="0" r="9525" b="0"/>
          <wp:wrapNone/>
          <wp:docPr id="1" name="2EB72FA6-60CE-4506-990D-49FE670738CF" descr="2EB72FA6-60CE-4506-990D-49FE670738C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EB72FA6-60CE-4506-990D-49FE670738C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44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141A6"/>
    <w:multiLevelType w:val="hybridMultilevel"/>
    <w:tmpl w:val="CA4DB223"/>
    <w:lvl w:ilvl="0" w:tplc="827EA606">
      <w:start w:val="1"/>
      <w:numFmt w:val="decimal"/>
      <w:suff w:val="space"/>
      <w:lvlText w:val="%1."/>
      <w:lvlJc w:val="left"/>
      <w:pPr>
        <w:tabs>
          <w:tab w:val="left" w:pos="709"/>
        </w:tabs>
        <w:ind w:left="360" w:hanging="360"/>
      </w:pPr>
      <w:rPr>
        <w:rFonts w:hint="default"/>
      </w:rPr>
    </w:lvl>
    <w:lvl w:ilvl="1" w:tplc="DC44E0F6">
      <w:start w:val="1"/>
      <w:numFmt w:val="lowerLetter"/>
      <w:lvlText w:val="%2."/>
      <w:lvlJc w:val="left"/>
      <w:pPr>
        <w:tabs>
          <w:tab w:val="left" w:pos="709"/>
        </w:tabs>
        <w:ind w:left="1440" w:hanging="360"/>
      </w:pPr>
    </w:lvl>
    <w:lvl w:ilvl="2" w:tplc="D4C2BCDE">
      <w:start w:val="1"/>
      <w:numFmt w:val="lowerRoman"/>
      <w:lvlText w:val="%3."/>
      <w:lvlJc w:val="right"/>
      <w:pPr>
        <w:tabs>
          <w:tab w:val="left" w:pos="709"/>
        </w:tabs>
        <w:ind w:left="2160" w:hanging="180"/>
      </w:pPr>
    </w:lvl>
    <w:lvl w:ilvl="3" w:tplc="14CE75CC">
      <w:start w:val="1"/>
      <w:numFmt w:val="decimal"/>
      <w:lvlText w:val="%4."/>
      <w:lvlJc w:val="left"/>
      <w:pPr>
        <w:tabs>
          <w:tab w:val="left" w:pos="709"/>
        </w:tabs>
        <w:ind w:left="2880" w:hanging="360"/>
      </w:pPr>
    </w:lvl>
    <w:lvl w:ilvl="4" w:tplc="B618535E">
      <w:start w:val="1"/>
      <w:numFmt w:val="lowerLetter"/>
      <w:lvlText w:val="%5."/>
      <w:lvlJc w:val="left"/>
      <w:pPr>
        <w:tabs>
          <w:tab w:val="left" w:pos="709"/>
        </w:tabs>
        <w:ind w:left="3600" w:hanging="360"/>
      </w:pPr>
    </w:lvl>
    <w:lvl w:ilvl="5" w:tplc="AB94B71E">
      <w:start w:val="1"/>
      <w:numFmt w:val="lowerRoman"/>
      <w:lvlText w:val="%6."/>
      <w:lvlJc w:val="right"/>
      <w:pPr>
        <w:tabs>
          <w:tab w:val="left" w:pos="709"/>
        </w:tabs>
        <w:ind w:left="4320" w:hanging="180"/>
      </w:pPr>
    </w:lvl>
    <w:lvl w:ilvl="6" w:tplc="9A566C50">
      <w:start w:val="1"/>
      <w:numFmt w:val="decimal"/>
      <w:lvlText w:val="%7."/>
      <w:lvlJc w:val="left"/>
      <w:pPr>
        <w:tabs>
          <w:tab w:val="left" w:pos="709"/>
        </w:tabs>
        <w:ind w:left="5040" w:hanging="360"/>
      </w:pPr>
    </w:lvl>
    <w:lvl w:ilvl="7" w:tplc="BE80B92C">
      <w:start w:val="1"/>
      <w:numFmt w:val="lowerLetter"/>
      <w:lvlText w:val="%8."/>
      <w:lvlJc w:val="left"/>
      <w:pPr>
        <w:tabs>
          <w:tab w:val="left" w:pos="709"/>
        </w:tabs>
        <w:ind w:left="5760" w:hanging="360"/>
      </w:pPr>
    </w:lvl>
    <w:lvl w:ilvl="8" w:tplc="620CF40A">
      <w:start w:val="1"/>
      <w:numFmt w:val="lowerRoman"/>
      <w:lvlText w:val="%9."/>
      <w:lvlJc w:val="right"/>
      <w:pPr>
        <w:tabs>
          <w:tab w:val="left" w:pos="709"/>
        </w:tabs>
        <w:ind w:left="6480" w:hanging="180"/>
      </w:pPr>
    </w:lvl>
  </w:abstractNum>
  <w:abstractNum w:abstractNumId="1">
    <w:nsid w:val="6B340441"/>
    <w:multiLevelType w:val="hybridMultilevel"/>
    <w:tmpl w:val="3BACE6B4"/>
    <w:lvl w:ilvl="0" w:tplc="6E8092D0">
      <w:start w:val="1"/>
      <w:numFmt w:val="upperRoman"/>
      <w:lvlText w:val="%1."/>
      <w:lvlJc w:val="right"/>
      <w:pPr>
        <w:tabs>
          <w:tab w:val="left" w:pos="709"/>
        </w:tabs>
        <w:ind w:left="720" w:hanging="360"/>
      </w:pPr>
    </w:lvl>
    <w:lvl w:ilvl="1" w:tplc="9B1C17E0">
      <w:start w:val="1"/>
      <w:numFmt w:val="lowerLetter"/>
      <w:lvlText w:val="%2."/>
      <w:lvlJc w:val="left"/>
      <w:pPr>
        <w:tabs>
          <w:tab w:val="left" w:pos="709"/>
        </w:tabs>
        <w:ind w:left="1440" w:hanging="360"/>
      </w:pPr>
    </w:lvl>
    <w:lvl w:ilvl="2" w:tplc="3CF4E5FC">
      <w:start w:val="1"/>
      <w:numFmt w:val="lowerRoman"/>
      <w:lvlText w:val="%3."/>
      <w:lvlJc w:val="right"/>
      <w:pPr>
        <w:tabs>
          <w:tab w:val="left" w:pos="709"/>
        </w:tabs>
        <w:ind w:left="2160" w:hanging="180"/>
      </w:pPr>
    </w:lvl>
    <w:lvl w:ilvl="3" w:tplc="74D6C8F6">
      <w:start w:val="1"/>
      <w:numFmt w:val="decimal"/>
      <w:lvlText w:val="%4."/>
      <w:lvlJc w:val="left"/>
      <w:pPr>
        <w:tabs>
          <w:tab w:val="left" w:pos="709"/>
        </w:tabs>
        <w:ind w:left="2880" w:hanging="360"/>
      </w:pPr>
    </w:lvl>
    <w:lvl w:ilvl="4" w:tplc="FC061D14">
      <w:start w:val="1"/>
      <w:numFmt w:val="lowerLetter"/>
      <w:lvlText w:val="%5."/>
      <w:lvlJc w:val="left"/>
      <w:pPr>
        <w:tabs>
          <w:tab w:val="left" w:pos="709"/>
        </w:tabs>
        <w:ind w:left="3600" w:hanging="360"/>
      </w:pPr>
    </w:lvl>
    <w:lvl w:ilvl="5" w:tplc="CE90E30E">
      <w:start w:val="1"/>
      <w:numFmt w:val="lowerRoman"/>
      <w:lvlText w:val="%6."/>
      <w:lvlJc w:val="right"/>
      <w:pPr>
        <w:tabs>
          <w:tab w:val="left" w:pos="709"/>
        </w:tabs>
        <w:ind w:left="4320" w:hanging="180"/>
      </w:pPr>
    </w:lvl>
    <w:lvl w:ilvl="6" w:tplc="560EDAC6">
      <w:start w:val="1"/>
      <w:numFmt w:val="decimal"/>
      <w:lvlText w:val="%7."/>
      <w:lvlJc w:val="left"/>
      <w:pPr>
        <w:tabs>
          <w:tab w:val="left" w:pos="709"/>
        </w:tabs>
        <w:ind w:left="5040" w:hanging="360"/>
      </w:pPr>
    </w:lvl>
    <w:lvl w:ilvl="7" w:tplc="6D549EBC">
      <w:start w:val="1"/>
      <w:numFmt w:val="lowerLetter"/>
      <w:lvlText w:val="%8."/>
      <w:lvlJc w:val="left"/>
      <w:pPr>
        <w:tabs>
          <w:tab w:val="left" w:pos="709"/>
        </w:tabs>
        <w:ind w:left="5760" w:hanging="360"/>
      </w:pPr>
    </w:lvl>
    <w:lvl w:ilvl="8" w:tplc="07D86734">
      <w:start w:val="1"/>
      <w:numFmt w:val="lowerRoman"/>
      <w:lvlText w:val="%9."/>
      <w:lvlJc w:val="right"/>
      <w:pPr>
        <w:tabs>
          <w:tab w:val="left" w:pos="709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425D"/>
    <w:rsid w:val="001E357D"/>
    <w:rsid w:val="00A01FBE"/>
    <w:rsid w:val="00B3425D"/>
    <w:rsid w:val="00C3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E">
    <w:name w:val="GE"/>
    <w:basedOn w:val="Norml"/>
    <w:link w:val="GEChar"/>
    <w:rPr>
      <w:rFonts w:ascii="GE Inspira" w:hAnsi="GE Inspira"/>
    </w:rPr>
  </w:style>
  <w:style w:type="character" w:customStyle="1" w:styleId="GEChar">
    <w:name w:val="GE Char"/>
    <w:basedOn w:val="Bekezdsalapbettpusa"/>
    <w:link w:val="GE"/>
    <w:rPr>
      <w:rFonts w:ascii="GE Inspira" w:hAnsi="GE Inspira"/>
    </w:rPr>
  </w:style>
  <w:style w:type="paragraph" w:customStyle="1" w:styleId="SRS">
    <w:name w:val="SRS"/>
    <w:basedOn w:val="Norml"/>
    <w:pPr>
      <w:spacing w:after="0" w:line="240" w:lineRule="auto"/>
      <w:jc w:val="both"/>
    </w:pPr>
    <w:rPr>
      <w:rFonts w:ascii="Open Sans" w:hAnsi="Open Sans"/>
      <w:sz w:val="17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</w:style>
  <w:style w:type="character" w:styleId="Hiperhivatkozs">
    <w:name w:val="Hyperlink"/>
    <w:basedOn w:val="Bekezdsalapbettpus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pPr>
      <w:widowControl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E">
    <w:name w:val="GE"/>
    <w:basedOn w:val="Norml"/>
    <w:link w:val="GEChar"/>
    <w:rPr>
      <w:rFonts w:ascii="GE Inspira" w:hAnsi="GE Inspira"/>
    </w:rPr>
  </w:style>
  <w:style w:type="character" w:customStyle="1" w:styleId="GEChar">
    <w:name w:val="GE Char"/>
    <w:basedOn w:val="Bekezdsalapbettpusa"/>
    <w:link w:val="GE"/>
    <w:rPr>
      <w:rFonts w:ascii="GE Inspira" w:hAnsi="GE Inspira"/>
    </w:rPr>
  </w:style>
  <w:style w:type="paragraph" w:customStyle="1" w:styleId="SRS">
    <w:name w:val="SRS"/>
    <w:basedOn w:val="Norml"/>
    <w:pPr>
      <w:spacing w:after="0" w:line="240" w:lineRule="auto"/>
      <w:jc w:val="both"/>
    </w:pPr>
    <w:rPr>
      <w:rFonts w:ascii="Open Sans" w:hAnsi="Open Sans"/>
      <w:sz w:val="17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</w:style>
  <w:style w:type="character" w:styleId="Hiperhivatkozs">
    <w:name w:val="Hyperlink"/>
    <w:basedOn w:val="Bekezdsalapbettpus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pPr>
      <w:widowControl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A26C7229</Template>
  <TotalTime>2</TotalTime>
  <Pages>2</Pages>
  <Words>1010</Words>
  <Characters>6970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SmartX Solutions Kft.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Edit (Budapest Bank)</dc:creator>
  <cp:lastModifiedBy>Czibor, Edit (GE Capital)</cp:lastModifiedBy>
  <cp:revision>3</cp:revision>
  <dcterms:created xsi:type="dcterms:W3CDTF">2017-03-22T14:11:00Z</dcterms:created>
  <dcterms:modified xsi:type="dcterms:W3CDTF">2017-03-24T08:39:00Z</dcterms:modified>
</cp:coreProperties>
</file>